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40" w:rsidRDefault="002A0140" w:rsidP="002A0140">
      <w:pPr>
        <w:spacing w:after="0" w:line="240" w:lineRule="auto"/>
      </w:pPr>
      <w:r>
        <w:t>The University</w:t>
      </w:r>
      <w:r w:rsidR="008A6F11">
        <w:t xml:space="preserve"> </w:t>
      </w:r>
      <w:r>
        <w:t>of</w:t>
      </w:r>
      <w:r w:rsidR="008A6F11">
        <w:t xml:space="preserve"> </w:t>
      </w:r>
      <w:r>
        <w:t xml:space="preserve">Washington Tacoma Professional Development Center fosters a diverse, prosperous and connected community through access to professionally-relevant courses and certificate programs for individuals, businesses and public organizations. Our center supports the university’s mission to catalyze the social and economic vitality of the South Puget Sound region. </w:t>
      </w:r>
    </w:p>
    <w:p w:rsidR="002A0140" w:rsidRPr="005A3BE7" w:rsidRDefault="002A0140" w:rsidP="002A0140">
      <w:pPr>
        <w:spacing w:after="0" w:line="240" w:lineRule="auto"/>
      </w:pPr>
    </w:p>
    <w:p w:rsidR="002A0140" w:rsidRPr="001F638A" w:rsidRDefault="002A0140" w:rsidP="002A0140">
      <w:pPr>
        <w:spacing w:after="0" w:line="240" w:lineRule="auto"/>
      </w:pPr>
      <w:r w:rsidRPr="001F638A">
        <w:t xml:space="preserve">UW Tacoma PDC has an outstanding opportunity for a </w:t>
      </w:r>
      <w:r w:rsidRPr="001F638A">
        <w:rPr>
          <w:b/>
          <w:bCs/>
        </w:rPr>
        <w:t xml:space="preserve">Part-time </w:t>
      </w:r>
      <w:r>
        <w:rPr>
          <w:b/>
          <w:bCs/>
        </w:rPr>
        <w:t xml:space="preserve">Extension </w:t>
      </w:r>
      <w:r w:rsidRPr="00892EEE">
        <w:rPr>
          <w:b/>
        </w:rPr>
        <w:t>Lecturer</w:t>
      </w:r>
      <w:r w:rsidRPr="001F638A" w:rsidDel="00D648B3">
        <w:rPr>
          <w:b/>
          <w:bCs/>
        </w:rPr>
        <w:t xml:space="preserve"> </w:t>
      </w:r>
      <w:r w:rsidRPr="001F638A">
        <w:t xml:space="preserve">within its </w:t>
      </w:r>
      <w:r w:rsidR="00CB723F">
        <w:rPr>
          <w:b/>
          <w:bCs/>
        </w:rPr>
        <w:t xml:space="preserve">Nonprofit Management program </w:t>
      </w:r>
      <w:r w:rsidRPr="001F638A">
        <w:t xml:space="preserve">for </w:t>
      </w:r>
      <w:r>
        <w:t>the academic year 20</w:t>
      </w:r>
      <w:r w:rsidR="005E1394">
        <w:t>22</w:t>
      </w:r>
      <w:r>
        <w:t>/20</w:t>
      </w:r>
      <w:r w:rsidR="005E1394">
        <w:t>23</w:t>
      </w:r>
      <w:r w:rsidR="008609FB">
        <w:t xml:space="preserve"> with classes starting in </w:t>
      </w:r>
      <w:r w:rsidR="00CB723F">
        <w:t xml:space="preserve">April </w:t>
      </w:r>
      <w:r w:rsidR="008609FB">
        <w:t>20</w:t>
      </w:r>
      <w:r w:rsidR="005E1394">
        <w:t>23</w:t>
      </w:r>
      <w:r w:rsidR="008609FB">
        <w:t xml:space="preserve"> and development during </w:t>
      </w:r>
      <w:r w:rsidR="005E1394">
        <w:t xml:space="preserve">Fall </w:t>
      </w:r>
      <w:r w:rsidR="008609FB">
        <w:t>20</w:t>
      </w:r>
      <w:r w:rsidR="005E1394">
        <w:t>22</w:t>
      </w:r>
      <w:r w:rsidRPr="001F638A">
        <w:t xml:space="preserve">. Course design will be coordinated with the Program Manager to ensure program cohesion. </w:t>
      </w:r>
    </w:p>
    <w:p w:rsidR="002A0140" w:rsidRPr="001F638A" w:rsidRDefault="002A0140" w:rsidP="002A0140">
      <w:pPr>
        <w:spacing w:after="0" w:line="240" w:lineRule="auto"/>
      </w:pPr>
    </w:p>
    <w:p w:rsidR="002A0140" w:rsidRPr="001F638A" w:rsidRDefault="002A0140" w:rsidP="002A0140">
      <w:pPr>
        <w:spacing w:after="0" w:line="240" w:lineRule="auto"/>
        <w:rPr>
          <w:b/>
          <w:bCs/>
          <w:i/>
          <w:iCs/>
        </w:rPr>
      </w:pPr>
      <w:r w:rsidRPr="001F638A">
        <w:t xml:space="preserve">The course, </w:t>
      </w:r>
      <w:r w:rsidR="00CB723F">
        <w:rPr>
          <w:b/>
          <w:bCs/>
        </w:rPr>
        <w:t>Financial Management for Nonprofits</w:t>
      </w:r>
      <w:r>
        <w:rPr>
          <w:b/>
          <w:bCs/>
        </w:rPr>
        <w:t xml:space="preserve">, is expected to meet once </w:t>
      </w:r>
      <w:r w:rsidRPr="001F638A">
        <w:rPr>
          <w:b/>
          <w:bCs/>
          <w:iCs/>
        </w:rPr>
        <w:t xml:space="preserve">per week </w:t>
      </w:r>
      <w:r w:rsidR="005E1394">
        <w:rPr>
          <w:b/>
          <w:bCs/>
          <w:iCs/>
        </w:rPr>
        <w:t xml:space="preserve">for three hours </w:t>
      </w:r>
      <w:r w:rsidRPr="001F638A">
        <w:rPr>
          <w:b/>
          <w:bCs/>
          <w:iCs/>
        </w:rPr>
        <w:t xml:space="preserve">in the evenings </w:t>
      </w:r>
      <w:r w:rsidR="005E1394">
        <w:rPr>
          <w:b/>
          <w:bCs/>
          <w:iCs/>
        </w:rPr>
        <w:t xml:space="preserve">for </w:t>
      </w:r>
      <w:r w:rsidR="00CB723F">
        <w:rPr>
          <w:b/>
          <w:bCs/>
          <w:iCs/>
        </w:rPr>
        <w:t>4</w:t>
      </w:r>
      <w:r w:rsidR="005E1394">
        <w:rPr>
          <w:b/>
          <w:bCs/>
          <w:iCs/>
        </w:rPr>
        <w:t xml:space="preserve"> weeks. </w:t>
      </w:r>
    </w:p>
    <w:p w:rsidR="002A0140" w:rsidRPr="001F638A" w:rsidRDefault="002A0140" w:rsidP="002A0140">
      <w:pPr>
        <w:spacing w:after="0" w:line="240" w:lineRule="auto"/>
        <w:rPr>
          <w:b/>
          <w:bCs/>
          <w:i/>
          <w:iCs/>
        </w:rPr>
      </w:pPr>
    </w:p>
    <w:p w:rsidR="002A0140" w:rsidRPr="00CB723F" w:rsidRDefault="00CB723F" w:rsidP="002A0140">
      <w:pPr>
        <w:spacing w:after="0" w:line="240" w:lineRule="auto"/>
        <w:rPr>
          <w:b/>
          <w:bCs/>
          <w:iCs/>
        </w:rPr>
      </w:pPr>
      <w:r w:rsidRPr="00CB723F">
        <w:rPr>
          <w:b/>
          <w:bCs/>
          <w:iCs/>
        </w:rPr>
        <w:t>This is an online/virtual course via Zoom and the Canvas LMS</w:t>
      </w:r>
    </w:p>
    <w:p w:rsidR="00CB723F" w:rsidRDefault="00CB723F" w:rsidP="002A0140">
      <w:pPr>
        <w:spacing w:after="0" w:line="240" w:lineRule="auto"/>
        <w:rPr>
          <w:b/>
          <w:bCs/>
          <w:i/>
          <w:iCs/>
        </w:rPr>
      </w:pPr>
    </w:p>
    <w:p w:rsidR="002A0140" w:rsidRDefault="002A0140" w:rsidP="002A0140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Instructional hourly rate and/or course development rate TBD</w:t>
      </w:r>
    </w:p>
    <w:p w:rsidR="002A0140" w:rsidRDefault="002A0140" w:rsidP="002A0140">
      <w:pPr>
        <w:spacing w:after="0" w:line="240" w:lineRule="auto"/>
      </w:pPr>
    </w:p>
    <w:p w:rsidR="002A0140" w:rsidRPr="007A0048" w:rsidRDefault="002A0140" w:rsidP="002A0140">
      <w:pPr>
        <w:spacing w:after="0" w:line="240" w:lineRule="auto"/>
      </w:pPr>
      <w:r w:rsidRPr="007A0048">
        <w:t xml:space="preserve">Note: As an employee of UW Tacoma any materials developed for this course will be considered a “work for hire” and may be copied, used, or adapted in this or future classes. To the extent that the course materials contain preexisting work, UW Tacoma and </w:t>
      </w:r>
      <w:r>
        <w:t>P</w:t>
      </w:r>
      <w:r w:rsidRPr="007A0048">
        <w:t>DC will be granted a perpetual, non-exclusive right to those materials, and understand that those materials may be used and adapted by either PDC, the UW Tacoma, or its instructors in the future.</w:t>
      </w:r>
    </w:p>
    <w:p w:rsidR="002A0140" w:rsidRPr="001F638A" w:rsidRDefault="002A0140" w:rsidP="002A0140">
      <w:pPr>
        <w:spacing w:after="0" w:line="240" w:lineRule="auto"/>
        <w:rPr>
          <w:b/>
          <w:bCs/>
        </w:rPr>
      </w:pPr>
    </w:p>
    <w:p w:rsidR="002A0140" w:rsidRPr="001F638A" w:rsidRDefault="002A0140" w:rsidP="002A0140">
      <w:pPr>
        <w:spacing w:after="0" w:line="240" w:lineRule="auto"/>
      </w:pPr>
      <w:r>
        <w:rPr>
          <w:b/>
          <w:bCs/>
        </w:rPr>
        <w:t xml:space="preserve">Hourly </w:t>
      </w:r>
      <w:r w:rsidRPr="001F638A">
        <w:rPr>
          <w:b/>
          <w:bCs/>
        </w:rPr>
        <w:t>Instruction</w:t>
      </w:r>
      <w:r>
        <w:rPr>
          <w:b/>
          <w:bCs/>
        </w:rPr>
        <w:t xml:space="preserve"> rate</w:t>
      </w:r>
      <w:r w:rsidRPr="001F638A">
        <w:rPr>
          <w:b/>
          <w:bCs/>
        </w:rPr>
        <w:t xml:space="preserve"> includes:</w:t>
      </w:r>
    </w:p>
    <w:p w:rsidR="002A0140" w:rsidRPr="001F638A" w:rsidRDefault="00A06FAD" w:rsidP="002A0140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="002A0140" w:rsidRPr="001F638A">
        <w:t xml:space="preserve">odify lesson plans and presentation materials for the full course, </w:t>
      </w:r>
    </w:p>
    <w:p w:rsidR="002A0140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>Teach in-person class sessions</w:t>
      </w:r>
      <w:r>
        <w:t xml:space="preserve"> and/coordinate additional guest lecturers </w:t>
      </w:r>
      <w:r w:rsidRPr="001F638A">
        <w:t xml:space="preserve">on the scheduled </w:t>
      </w:r>
      <w:r w:rsidR="008B669F">
        <w:t>dates,</w:t>
      </w:r>
    </w:p>
    <w:p w:rsidR="002A0140" w:rsidRPr="001F638A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Additional work of approximately </w:t>
      </w:r>
      <w:r w:rsidRPr="001F638A">
        <w:t xml:space="preserve">3-5 hours a week outside of class sessions, for lesson preparation, student interactions, and grading, </w:t>
      </w:r>
    </w:p>
    <w:p w:rsidR="002A0140" w:rsidRPr="001F638A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 xml:space="preserve">Respond to student inquiries and provide feedback on student work in a timely manner, </w:t>
      </w:r>
    </w:p>
    <w:p w:rsidR="002A0140" w:rsidRPr="001F638A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>Coordinate with other instructors in the program,</w:t>
      </w:r>
      <w:r>
        <w:t xml:space="preserve"> including attending existing courses,</w:t>
      </w:r>
      <w:r w:rsidRPr="001F638A">
        <w:t xml:space="preserve"> to ensure that curriculum aligns, </w:t>
      </w:r>
    </w:p>
    <w:p w:rsidR="002A0140" w:rsidRPr="001F638A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 xml:space="preserve">Adjust and adapt instruction based on student and UW Tacoma feedback, and implement sound pedagogical practices, </w:t>
      </w:r>
    </w:p>
    <w:p w:rsidR="002A0140" w:rsidRPr="001F638A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 xml:space="preserve">Teach with minimal supervision while maintaining high standards of professionalism, punctuality, and content relevance for adult students in an online environment, </w:t>
      </w:r>
    </w:p>
    <w:p w:rsidR="002A0140" w:rsidRPr="001F638A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>Interact with individuals from diverse cultural and socioeconomic backgrounds.</w:t>
      </w:r>
    </w:p>
    <w:p w:rsidR="002A0140" w:rsidRDefault="002A0140" w:rsidP="002A0140">
      <w:pPr>
        <w:pStyle w:val="ListParagraph"/>
        <w:numPr>
          <w:ilvl w:val="0"/>
          <w:numId w:val="1"/>
        </w:numPr>
        <w:spacing w:after="0" w:line="240" w:lineRule="auto"/>
      </w:pPr>
      <w:r w:rsidRPr="001F638A">
        <w:t>Participate in at least one 60-minute information session (via web conference or in person) during the recruiting season and one instructor team meeting per year.</w:t>
      </w:r>
    </w:p>
    <w:p w:rsidR="00A06FAD" w:rsidRDefault="00A06FAD" w:rsidP="00A06FAD">
      <w:pPr>
        <w:spacing w:after="0" w:line="240" w:lineRule="auto"/>
      </w:pPr>
    </w:p>
    <w:p w:rsidR="00A06FAD" w:rsidRDefault="00A06FAD" w:rsidP="00A06FAD">
      <w:pPr>
        <w:spacing w:after="0" w:line="240" w:lineRule="auto"/>
        <w:rPr>
          <w:b/>
          <w:bCs/>
        </w:rPr>
      </w:pPr>
      <w:r>
        <w:rPr>
          <w:b/>
          <w:bCs/>
        </w:rPr>
        <w:t>Course development rate</w:t>
      </w:r>
      <w:r w:rsidRPr="001F638A">
        <w:rPr>
          <w:b/>
          <w:bCs/>
        </w:rPr>
        <w:t xml:space="preserve"> includes:</w:t>
      </w:r>
    </w:p>
    <w:p w:rsidR="00A06FAD" w:rsidRPr="001F638A" w:rsidRDefault="00D63E4F" w:rsidP="00A06FAD">
      <w:pPr>
        <w:pStyle w:val="ListParagraph"/>
        <w:numPr>
          <w:ilvl w:val="0"/>
          <w:numId w:val="6"/>
        </w:numPr>
        <w:spacing w:after="0" w:line="240" w:lineRule="auto"/>
      </w:pPr>
      <w:r>
        <w:t>Update</w:t>
      </w:r>
      <w:r w:rsidR="00A06FAD">
        <w:t xml:space="preserve"> a course </w:t>
      </w:r>
      <w:r w:rsidR="00AD4E67">
        <w:t xml:space="preserve">curriculum and </w:t>
      </w:r>
      <w:r w:rsidR="00A06FAD">
        <w:t xml:space="preserve">schedule for a </w:t>
      </w:r>
      <w:r w:rsidR="00CB723F">
        <w:t>12</w:t>
      </w:r>
      <w:r w:rsidR="005E1394">
        <w:t>-</w:t>
      </w:r>
      <w:r w:rsidR="00A06FAD">
        <w:t xml:space="preserve">hour program on the </w:t>
      </w:r>
      <w:r w:rsidR="00CB723F">
        <w:t xml:space="preserve">Financial Management of Nonprofits </w:t>
      </w:r>
      <w:r w:rsidR="00AD4E67">
        <w:t>based upon approved curriculum abstract and learning objectives.</w:t>
      </w:r>
      <w:bookmarkStart w:id="0" w:name="_GoBack"/>
      <w:bookmarkEnd w:id="0"/>
    </w:p>
    <w:p w:rsidR="002A0140" w:rsidRPr="001F638A" w:rsidRDefault="002A0140" w:rsidP="002A0140">
      <w:pPr>
        <w:pStyle w:val="ListParagraph"/>
        <w:spacing w:after="0" w:line="240" w:lineRule="auto"/>
      </w:pPr>
    </w:p>
    <w:p w:rsidR="002A0140" w:rsidRPr="001F638A" w:rsidRDefault="002A0140" w:rsidP="002A0140">
      <w:pPr>
        <w:spacing w:after="0" w:line="240" w:lineRule="auto"/>
      </w:pPr>
      <w:r w:rsidRPr="001F638A">
        <w:rPr>
          <w:b/>
          <w:bCs/>
        </w:rPr>
        <w:lastRenderedPageBreak/>
        <w:t xml:space="preserve">REQUIREMENTS </w:t>
      </w:r>
    </w:p>
    <w:p w:rsidR="002A0140" w:rsidRDefault="002A0140" w:rsidP="002A0140">
      <w:pPr>
        <w:pStyle w:val="ListParagraph"/>
        <w:numPr>
          <w:ilvl w:val="0"/>
          <w:numId w:val="2"/>
        </w:numPr>
        <w:spacing w:after="0" w:line="240" w:lineRule="auto"/>
      </w:pPr>
      <w:r w:rsidRPr="001F638A">
        <w:t>Bachelor’s degree from an accredited university,</w:t>
      </w:r>
    </w:p>
    <w:p w:rsidR="002F31BA" w:rsidRPr="001F638A" w:rsidRDefault="002F31BA" w:rsidP="002F31BA">
      <w:pPr>
        <w:pStyle w:val="ListParagraph"/>
        <w:numPr>
          <w:ilvl w:val="0"/>
          <w:numId w:val="2"/>
        </w:numPr>
        <w:spacing w:after="0" w:line="240" w:lineRule="auto"/>
      </w:pPr>
      <w:r w:rsidRPr="001F638A">
        <w:t xml:space="preserve">At least </w:t>
      </w:r>
      <w:r>
        <w:t>7</w:t>
      </w:r>
      <w:r w:rsidRPr="001F638A">
        <w:t xml:space="preserve"> years of hands-on </w:t>
      </w:r>
      <w:r>
        <w:t>accounting</w:t>
      </w:r>
      <w:r w:rsidRPr="001F638A">
        <w:t xml:space="preserve"> experienc</w:t>
      </w:r>
      <w:r>
        <w:t>e</w:t>
      </w:r>
    </w:p>
    <w:p w:rsidR="002F31BA" w:rsidRPr="001F638A" w:rsidRDefault="002F31BA" w:rsidP="002F3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1F638A">
        <w:rPr>
          <w:rFonts w:eastAsia="Times New Roman" w:cs="Times New Roman"/>
        </w:rPr>
        <w:t xml:space="preserve">At least 3 years of experience as a management consultant and/or professional instructor </w:t>
      </w:r>
      <w:r w:rsidRPr="001F638A">
        <w:t>within the last 5 years</w:t>
      </w:r>
      <w:r>
        <w:t xml:space="preserve"> for </w:t>
      </w:r>
      <w:r w:rsidR="00C26070">
        <w:t>n</w:t>
      </w:r>
      <w:r>
        <w:t>onprofit</w:t>
      </w:r>
      <w:r w:rsidR="00C26070">
        <w:t>s</w:t>
      </w:r>
    </w:p>
    <w:p w:rsidR="002F31BA" w:rsidRPr="001F638A" w:rsidRDefault="002F31BA" w:rsidP="002F31BA">
      <w:pPr>
        <w:pStyle w:val="ListParagraph"/>
        <w:numPr>
          <w:ilvl w:val="0"/>
          <w:numId w:val="2"/>
        </w:numPr>
        <w:spacing w:after="0" w:line="240" w:lineRule="auto"/>
      </w:pPr>
      <w:r>
        <w:t>CPA-</w:t>
      </w:r>
      <w:r w:rsidR="00C54336">
        <w:t xml:space="preserve">certified and </w:t>
      </w:r>
      <w:r>
        <w:t>licensed</w:t>
      </w:r>
      <w:r w:rsidRPr="001F638A">
        <w:t xml:space="preserve"> </w:t>
      </w:r>
    </w:p>
    <w:p w:rsidR="002A0140" w:rsidRPr="001F638A" w:rsidRDefault="002A0140" w:rsidP="008A6F11">
      <w:pPr>
        <w:pStyle w:val="ListParagraph"/>
        <w:numPr>
          <w:ilvl w:val="0"/>
          <w:numId w:val="2"/>
        </w:numPr>
        <w:spacing w:after="0" w:line="240" w:lineRule="auto"/>
      </w:pPr>
      <w:r w:rsidRPr="001F638A">
        <w:t xml:space="preserve">Excellent interpersonal, oral, and written communication skills, </w:t>
      </w:r>
    </w:p>
    <w:p w:rsidR="002A0140" w:rsidRPr="001F638A" w:rsidRDefault="002A0140" w:rsidP="002A0140">
      <w:pPr>
        <w:pStyle w:val="ListParagraph"/>
        <w:numPr>
          <w:ilvl w:val="0"/>
          <w:numId w:val="2"/>
        </w:numPr>
        <w:spacing w:after="0" w:line="240" w:lineRule="auto"/>
      </w:pPr>
      <w:r w:rsidRPr="001F638A">
        <w:t xml:space="preserve">Legal authorization to work and receive compensation in the United States. </w:t>
      </w:r>
    </w:p>
    <w:p w:rsidR="008A6F11" w:rsidRDefault="008A6F11" w:rsidP="002A0140">
      <w:pPr>
        <w:spacing w:after="0" w:line="240" w:lineRule="auto"/>
      </w:pPr>
    </w:p>
    <w:p w:rsidR="002A0140" w:rsidRPr="001F638A" w:rsidRDefault="002A0140" w:rsidP="002A0140">
      <w:pPr>
        <w:spacing w:after="0" w:line="240" w:lineRule="auto"/>
      </w:pPr>
      <w:r w:rsidRPr="001F638A">
        <w:rPr>
          <w:b/>
          <w:bCs/>
        </w:rPr>
        <w:t xml:space="preserve">Desired: </w:t>
      </w:r>
    </w:p>
    <w:p w:rsidR="00CB723F" w:rsidRPr="001F638A" w:rsidRDefault="002A0140" w:rsidP="00CB723F">
      <w:pPr>
        <w:pStyle w:val="ListParagraph"/>
        <w:numPr>
          <w:ilvl w:val="0"/>
          <w:numId w:val="3"/>
        </w:numPr>
        <w:spacing w:after="0" w:line="240" w:lineRule="auto"/>
      </w:pPr>
      <w:r w:rsidRPr="001F638A">
        <w:t xml:space="preserve">Master’s degree or higher in a relevant field, </w:t>
      </w:r>
    </w:p>
    <w:p w:rsidR="002A0140" w:rsidRPr="001F638A" w:rsidRDefault="002A0140" w:rsidP="002A0140">
      <w:pPr>
        <w:pStyle w:val="ListParagraph"/>
        <w:numPr>
          <w:ilvl w:val="0"/>
          <w:numId w:val="3"/>
        </w:numPr>
        <w:spacing w:after="0" w:line="240" w:lineRule="auto"/>
      </w:pPr>
      <w:r w:rsidRPr="001F638A">
        <w:t>Prior teaching in an academic setting, particularly with adult learners</w:t>
      </w:r>
      <w:r>
        <w:t xml:space="preserve"> at a university level</w:t>
      </w:r>
      <w:r w:rsidRPr="001F638A">
        <w:t>,</w:t>
      </w:r>
    </w:p>
    <w:p w:rsidR="008A6F11" w:rsidRDefault="002A0140" w:rsidP="008A6F11">
      <w:pPr>
        <w:pStyle w:val="ListParagraph"/>
        <w:numPr>
          <w:ilvl w:val="0"/>
          <w:numId w:val="3"/>
        </w:numPr>
        <w:spacing w:after="0" w:line="240" w:lineRule="auto"/>
      </w:pPr>
      <w:r w:rsidRPr="001F638A">
        <w:t>Experience teaching online using Canvas</w:t>
      </w:r>
      <w:r>
        <w:t xml:space="preserve"> or other</w:t>
      </w:r>
      <w:r w:rsidRPr="001F638A">
        <w:t xml:space="preserve"> learning management software </w:t>
      </w:r>
    </w:p>
    <w:p w:rsidR="008A6F11" w:rsidRDefault="008A6F11" w:rsidP="008A6F11">
      <w:pPr>
        <w:pStyle w:val="ListParagraph"/>
        <w:spacing w:after="0" w:line="240" w:lineRule="auto"/>
      </w:pPr>
    </w:p>
    <w:p w:rsidR="002A0140" w:rsidRPr="001F638A" w:rsidRDefault="002A0140" w:rsidP="008A6F11">
      <w:pPr>
        <w:pStyle w:val="ListParagraph"/>
        <w:spacing w:after="0" w:line="240" w:lineRule="auto"/>
        <w:ind w:left="0"/>
      </w:pPr>
      <w:r w:rsidRPr="008A6F11">
        <w:rPr>
          <w:i/>
          <w:iCs/>
        </w:rPr>
        <w:t xml:space="preserve">Equivalent education/experience will substitute for all minimum qualifications except when there are legal requirements, such as a license/certification/registration. </w:t>
      </w:r>
    </w:p>
    <w:p w:rsidR="00C26070" w:rsidRPr="00C26070" w:rsidRDefault="002A0140" w:rsidP="00C26070">
      <w:pPr>
        <w:pStyle w:val="Heading3"/>
        <w:spacing w:after="120"/>
        <w:rPr>
          <w:rFonts w:ascii="Arial" w:eastAsia="Times New Roman" w:hAnsi="Arial" w:cs="Arial"/>
          <w:b/>
          <w:bCs/>
          <w:color w:val="auto"/>
        </w:rPr>
      </w:pPr>
      <w:r w:rsidRPr="00F74DBB">
        <w:rPr>
          <w:rFonts w:eastAsia="Times New Roman" w:cs="Times New Roman"/>
        </w:rPr>
        <w:br/>
      </w:r>
      <w:r w:rsidR="00C26070" w:rsidRPr="00C26070">
        <w:rPr>
          <w:rFonts w:ascii="Arial" w:eastAsia="Times New Roman" w:hAnsi="Arial" w:cs="Arial"/>
          <w:b/>
          <w:bCs/>
          <w:color w:val="auto"/>
        </w:rPr>
        <w:t>COURSE DESCRIPTION AND OUTCOMES</w:t>
      </w:r>
    </w:p>
    <w:p w:rsidR="00C26070" w:rsidRPr="00C26070" w:rsidRDefault="00C26070" w:rsidP="00C26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6070" w:rsidRDefault="00C26070" w:rsidP="00C26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6070">
        <w:rPr>
          <w:rFonts w:ascii="Arial" w:eastAsia="Times New Roman" w:hAnsi="Arial" w:cs="Arial"/>
          <w:color w:val="000000"/>
          <w:sz w:val="24"/>
          <w:szCs w:val="24"/>
        </w:rPr>
        <w:t>A skillful understanding of transactions, financial statements and reports as well as internal controls are essential to operating a successful nonprofit. Learn strategies to efficiently manage the financial resources of a nonprofit organization. This course is designed for professionals who work for or with nonprofit organizations.  A background in Finance or Accounting, while helpful, is not required. Participants will:</w:t>
      </w:r>
    </w:p>
    <w:p w:rsidR="00C26070" w:rsidRPr="00C26070" w:rsidRDefault="00C26070" w:rsidP="00C26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Identify the elements of a Nonprofit Financial System.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Identify key financial terms and concepts as they relate to the effective operation of a nonprofit organization.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Track income and expenses to specific programs to fulfill expectations of various stakeholders.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Discuss and understand different classes of net assets.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Differentiate between contribution and exchange transactions.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Discuss effective techniques to present a budget to a variety of audiences.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Review the major nonprofit financial statements including the Statement of Financial Position, the Statement of Activities and the Statement of Functional Expenses; understand the key components of each and how they are important tools to manage an organization.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Analyze a set of basic financial statements and describe different types of business transactions and their relationship to the organization’s mission.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26070">
        <w:rPr>
          <w:rFonts w:ascii="Arial" w:eastAsia="Times New Roman" w:hAnsi="Arial" w:cs="Arial"/>
          <w:sz w:val="24"/>
          <w:szCs w:val="24"/>
        </w:rPr>
        <w:t>Review the reporting requirements of the IRS and analyze the components of a 990.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C26070">
        <w:rPr>
          <w:rFonts w:ascii="Arial" w:eastAsia="Times New Roman" w:hAnsi="Arial" w:cs="Arial"/>
          <w:color w:val="000000"/>
          <w:sz w:val="24"/>
          <w:szCs w:val="24"/>
        </w:rPr>
        <w:lastRenderedPageBreak/>
        <w:t>Discuss the key ratios used for monitoring an organization's financial health and fiscal stability.</w:t>
      </w:r>
    </w:p>
    <w:p w:rsidR="00C26070" w:rsidRPr="00C26070" w:rsidRDefault="00C26070" w:rsidP="00C2607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C26070">
        <w:rPr>
          <w:rFonts w:ascii="Arial" w:eastAsia="Times New Roman" w:hAnsi="Arial" w:cs="Arial"/>
          <w:color w:val="000000"/>
          <w:sz w:val="24"/>
          <w:szCs w:val="24"/>
        </w:rPr>
        <w:t>Know what common internal controls are used to protect the assets of an organization.</w:t>
      </w:r>
    </w:p>
    <w:p w:rsidR="00C26070" w:rsidRPr="00C26070" w:rsidRDefault="00C26070" w:rsidP="00C2607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</w:rPr>
      </w:pPr>
    </w:p>
    <w:p w:rsidR="008A6F11" w:rsidRPr="008A6F11" w:rsidRDefault="008A6F11" w:rsidP="00C26070">
      <w:pPr>
        <w:pStyle w:val="Heading1"/>
        <w:rPr>
          <w:sz w:val="24"/>
        </w:rPr>
      </w:pPr>
    </w:p>
    <w:p w:rsidR="008A6F11" w:rsidRDefault="008A6F11" w:rsidP="008A6F11">
      <w:pPr>
        <w:spacing w:after="0" w:line="240" w:lineRule="auto"/>
        <w:rPr>
          <w:rFonts w:eastAsia="Times New Roman" w:cs="Times New Roman"/>
        </w:rPr>
      </w:pPr>
      <w:r w:rsidRPr="001F638A">
        <w:rPr>
          <w:rFonts w:eastAsia="Times New Roman" w:cs="Times New Roman"/>
          <w:b/>
        </w:rPr>
        <w:t>ADDITIONAL INSTRUCTIONS:</w:t>
      </w:r>
      <w:r w:rsidRPr="001F638A">
        <w:rPr>
          <w:rFonts w:eastAsia="Times New Roman" w:cs="Times New Roman"/>
          <w:b/>
        </w:rPr>
        <w:br/>
      </w:r>
      <w:r w:rsidRPr="001F638A">
        <w:rPr>
          <w:rFonts w:eastAsia="Times New Roman" w:cs="Times New Roman"/>
        </w:rPr>
        <w:br/>
        <w:t>To apply for this position, you must submit:</w:t>
      </w:r>
      <w:r w:rsidRPr="001F638A">
        <w:rPr>
          <w:rFonts w:eastAsia="Times New Roman" w:cs="Times New Roman"/>
        </w:rPr>
        <w:br/>
      </w:r>
      <w:r w:rsidRPr="001F638A">
        <w:rPr>
          <w:rFonts w:eastAsia="Times New Roman" w:cs="Times New Roman"/>
        </w:rPr>
        <w:br/>
        <w:t>* Cover Letter explaining your interest in the position and describing how you meet the minimum and special qualifications and requirements of the position</w:t>
      </w:r>
      <w:r w:rsidRPr="001F638A">
        <w:rPr>
          <w:rFonts w:eastAsia="Times New Roman" w:cs="Times New Roman"/>
        </w:rPr>
        <w:br/>
      </w:r>
      <w:r w:rsidRPr="001F638A">
        <w:rPr>
          <w:rFonts w:eastAsia="Times New Roman" w:cs="Times New Roman"/>
        </w:rPr>
        <w:br/>
        <w:t>* Cur</w:t>
      </w:r>
      <w:r>
        <w:rPr>
          <w:rFonts w:eastAsia="Times New Roman" w:cs="Times New Roman"/>
        </w:rPr>
        <w:t>rent Resume or Curriculum Vitae</w:t>
      </w:r>
      <w:r w:rsidRPr="001F638A">
        <w:rPr>
          <w:rFonts w:eastAsia="Times New Roman" w:cs="Times New Roman"/>
        </w:rPr>
        <w:br/>
      </w:r>
      <w:r w:rsidRPr="001F638A">
        <w:rPr>
          <w:rFonts w:eastAsia="Times New Roman" w:cs="Times New Roman"/>
        </w:rPr>
        <w:br/>
        <w:t>* Two Letters of Recommendation</w:t>
      </w:r>
      <w:r>
        <w:rPr>
          <w:rFonts w:eastAsia="Times New Roman" w:cs="Times New Roman"/>
        </w:rPr>
        <w:br/>
      </w:r>
    </w:p>
    <w:p w:rsidR="008A6F11" w:rsidRPr="008A6F11" w:rsidRDefault="008A6F11" w:rsidP="008A6F11">
      <w:pPr>
        <w:spacing w:after="0" w:line="240" w:lineRule="auto"/>
        <w:jc w:val="both"/>
        <w:outlineLvl w:val="2"/>
        <w:rPr>
          <w:color w:val="262626"/>
          <w:szCs w:val="20"/>
        </w:rPr>
      </w:pPr>
      <w:r w:rsidRPr="00F74DBB">
        <w:rPr>
          <w:rFonts w:eastAsia="Times New Roman" w:cs="Times New Roman"/>
          <w:b/>
          <w:sz w:val="24"/>
        </w:rPr>
        <w:t xml:space="preserve">Please send to Christopher Cellars, </w:t>
      </w:r>
      <w:r w:rsidR="00075E31">
        <w:rPr>
          <w:rFonts w:eastAsia="Times New Roman" w:cs="Times New Roman"/>
          <w:b/>
          <w:sz w:val="24"/>
        </w:rPr>
        <w:t>Executive Director</w:t>
      </w:r>
      <w:r w:rsidRPr="00F74DBB">
        <w:rPr>
          <w:rFonts w:eastAsia="Times New Roman" w:cs="Times New Roman"/>
          <w:b/>
          <w:sz w:val="24"/>
        </w:rPr>
        <w:t xml:space="preserve"> at </w:t>
      </w:r>
      <w:hyperlink r:id="rId7" w:history="1">
        <w:r w:rsidRPr="00F74DBB">
          <w:rPr>
            <w:rStyle w:val="Hyperlink"/>
            <w:rFonts w:eastAsia="Times New Roman" w:cs="Times New Roman"/>
            <w:b/>
            <w:sz w:val="24"/>
          </w:rPr>
          <w:t>ccellars@uw.edu</w:t>
        </w:r>
      </w:hyperlink>
    </w:p>
    <w:p w:rsidR="002A0140" w:rsidRPr="001F638A" w:rsidRDefault="002A0140" w:rsidP="002A0140">
      <w:pPr>
        <w:spacing w:after="0" w:line="240" w:lineRule="auto"/>
      </w:pPr>
    </w:p>
    <w:p w:rsidR="002A0140" w:rsidRPr="001F638A" w:rsidRDefault="005B4ABF" w:rsidP="002A0140">
      <w:pPr>
        <w:spacing w:after="0" w:line="240" w:lineRule="auto"/>
      </w:pPr>
      <w:hyperlink r:id="rId8" w:tgtFrame="_new" w:history="1">
        <w:r w:rsidR="002A0140" w:rsidRPr="009B1B91">
          <w:rPr>
            <w:rStyle w:val="Hyperlink"/>
          </w:rPr>
          <w:t>The University of Washington is an equal opportunity, affirmative action employer.</w:t>
        </w:r>
      </w:hyperlink>
      <w:r w:rsidR="002A0140" w:rsidRPr="009B1B91">
        <w:t> </w:t>
      </w:r>
    </w:p>
    <w:p w:rsidR="008577F5" w:rsidRDefault="008577F5"/>
    <w:sectPr w:rsidR="008577F5" w:rsidSect="008A6F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BF" w:rsidRDefault="005B4ABF" w:rsidP="002A0140">
      <w:pPr>
        <w:spacing w:after="0" w:line="240" w:lineRule="auto"/>
      </w:pPr>
      <w:r>
        <w:separator/>
      </w:r>
    </w:p>
  </w:endnote>
  <w:endnote w:type="continuationSeparator" w:id="0">
    <w:p w:rsidR="005B4ABF" w:rsidRDefault="005B4ABF" w:rsidP="002A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BF" w:rsidRDefault="005B4ABF" w:rsidP="002A0140">
      <w:pPr>
        <w:spacing w:after="0" w:line="240" w:lineRule="auto"/>
      </w:pPr>
      <w:r>
        <w:separator/>
      </w:r>
    </w:p>
  </w:footnote>
  <w:footnote w:type="continuationSeparator" w:id="0">
    <w:p w:rsidR="005B4ABF" w:rsidRDefault="005B4ABF" w:rsidP="002A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EE" w:rsidRPr="00892EEE" w:rsidRDefault="00DC2856" w:rsidP="00892EEE">
    <w:pPr>
      <w:spacing w:after="0" w:line="240" w:lineRule="auto"/>
      <w:rPr>
        <w:sz w:val="28"/>
        <w:szCs w:val="28"/>
      </w:rPr>
    </w:pPr>
    <w:r w:rsidRPr="004B1365">
      <w:rPr>
        <w:b/>
        <w:sz w:val="32"/>
        <w:szCs w:val="28"/>
      </w:rPr>
      <w:t>University of Washington Tacoma</w:t>
    </w:r>
    <w:r w:rsidRPr="004B1365">
      <w:rPr>
        <w:sz w:val="32"/>
        <w:szCs w:val="28"/>
      </w:rPr>
      <w:br/>
    </w:r>
    <w:r w:rsidRPr="004B1365">
      <w:rPr>
        <w:rFonts w:cs="Arial"/>
        <w:b/>
        <w:sz w:val="32"/>
        <w:szCs w:val="28"/>
      </w:rPr>
      <w:t>Professional Development Center</w:t>
    </w:r>
    <w:r w:rsidRPr="00892EEE">
      <w:rPr>
        <w:sz w:val="28"/>
        <w:szCs w:val="28"/>
      </w:rPr>
      <w:t xml:space="preserve"> </w:t>
    </w:r>
  </w:p>
  <w:p w:rsidR="00892EEE" w:rsidRDefault="005B4ABF" w:rsidP="00892EEE">
    <w:pPr>
      <w:spacing w:after="0" w:line="240" w:lineRule="auto"/>
    </w:pPr>
  </w:p>
  <w:p w:rsidR="00892EEE" w:rsidRPr="004B1365" w:rsidRDefault="00DC2856" w:rsidP="00892EEE">
    <w:pPr>
      <w:spacing w:after="0" w:line="240" w:lineRule="auto"/>
      <w:rPr>
        <w:b/>
        <w:sz w:val="28"/>
      </w:rPr>
    </w:pPr>
    <w:r w:rsidRPr="004B1365">
      <w:rPr>
        <w:b/>
        <w:sz w:val="28"/>
      </w:rPr>
      <w:t>Position Description – Part-time Extension Lecturer</w:t>
    </w:r>
  </w:p>
  <w:p w:rsidR="00892EEE" w:rsidRDefault="005B4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5D7"/>
    <w:multiLevelType w:val="hybridMultilevel"/>
    <w:tmpl w:val="A2EE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7D7"/>
    <w:multiLevelType w:val="hybridMultilevel"/>
    <w:tmpl w:val="7628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195"/>
    <w:multiLevelType w:val="hybridMultilevel"/>
    <w:tmpl w:val="410C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459B"/>
    <w:multiLevelType w:val="hybridMultilevel"/>
    <w:tmpl w:val="261A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9D6"/>
    <w:multiLevelType w:val="hybridMultilevel"/>
    <w:tmpl w:val="58E8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91700"/>
    <w:multiLevelType w:val="multilevel"/>
    <w:tmpl w:val="2D989A0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9A62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1065B1"/>
    <w:multiLevelType w:val="hybridMultilevel"/>
    <w:tmpl w:val="0F6C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2081A"/>
    <w:multiLevelType w:val="hybridMultilevel"/>
    <w:tmpl w:val="F3B8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D0899"/>
    <w:multiLevelType w:val="hybridMultilevel"/>
    <w:tmpl w:val="ED5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03453"/>
    <w:multiLevelType w:val="hybridMultilevel"/>
    <w:tmpl w:val="1CAE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D111A8"/>
    <w:multiLevelType w:val="hybridMultilevel"/>
    <w:tmpl w:val="6D7A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40"/>
    <w:rsid w:val="00075E31"/>
    <w:rsid w:val="00131D7D"/>
    <w:rsid w:val="002A0140"/>
    <w:rsid w:val="002F31BA"/>
    <w:rsid w:val="005A6710"/>
    <w:rsid w:val="005B4ABF"/>
    <w:rsid w:val="005E1394"/>
    <w:rsid w:val="008577F5"/>
    <w:rsid w:val="008609FB"/>
    <w:rsid w:val="008A6F11"/>
    <w:rsid w:val="008B669F"/>
    <w:rsid w:val="00904C45"/>
    <w:rsid w:val="00A06FAD"/>
    <w:rsid w:val="00AD4E67"/>
    <w:rsid w:val="00C26070"/>
    <w:rsid w:val="00C54336"/>
    <w:rsid w:val="00CB723F"/>
    <w:rsid w:val="00D63E4F"/>
    <w:rsid w:val="00D6644E"/>
    <w:rsid w:val="00D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6923"/>
  <w15:chartTrackingRefBased/>
  <w15:docId w15:val="{94A2EF3B-74D9-4A11-8968-70994487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140"/>
  </w:style>
  <w:style w:type="paragraph" w:styleId="Heading1">
    <w:name w:val="heading 1"/>
    <w:basedOn w:val="Heading3"/>
    <w:next w:val="Normal"/>
    <w:link w:val="Heading1Char"/>
    <w:qFormat/>
    <w:rsid w:val="00075E31"/>
    <w:pPr>
      <w:keepNext w:val="0"/>
      <w:keepLines w:val="0"/>
      <w:autoSpaceDE w:val="0"/>
      <w:autoSpaceDN w:val="0"/>
      <w:adjustRightInd w:val="0"/>
      <w:spacing w:before="0" w:line="276" w:lineRule="auto"/>
      <w:outlineLvl w:val="0"/>
    </w:pPr>
    <w:rPr>
      <w:rFonts w:ascii="Arial" w:eastAsia="Arial Unicode MS" w:hAnsi="Arial" w:cs="Arial"/>
      <w:b/>
      <w:bCs/>
      <w:color w:val="auto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E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40"/>
    <w:pPr>
      <w:ind w:left="720"/>
      <w:contextualSpacing/>
    </w:pPr>
  </w:style>
  <w:style w:type="paragraph" w:customStyle="1" w:styleId="Default">
    <w:name w:val="Default"/>
    <w:rsid w:val="002A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40"/>
  </w:style>
  <w:style w:type="character" w:styleId="Hyperlink">
    <w:name w:val="Hyperlink"/>
    <w:basedOn w:val="DefaultParagraphFont"/>
    <w:uiPriority w:val="99"/>
    <w:unhideWhenUsed/>
    <w:rsid w:val="002A014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40"/>
  </w:style>
  <w:style w:type="character" w:customStyle="1" w:styleId="Heading1Char">
    <w:name w:val="Heading 1 Char"/>
    <w:basedOn w:val="DefaultParagraphFont"/>
    <w:link w:val="Heading1"/>
    <w:rsid w:val="00075E31"/>
    <w:rPr>
      <w:rFonts w:ascii="Arial" w:eastAsia="Arial Unicode MS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E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E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.washington.edu/eoaa/equal-opportunity-statement-for-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ellars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Tacoma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ccellars</dc:creator>
  <cp:keywords/>
  <dc:description/>
  <cp:lastModifiedBy>ccellars</cp:lastModifiedBy>
  <cp:revision>4</cp:revision>
  <dcterms:created xsi:type="dcterms:W3CDTF">2022-08-25T21:13:00Z</dcterms:created>
  <dcterms:modified xsi:type="dcterms:W3CDTF">2022-08-25T21:23:00Z</dcterms:modified>
</cp:coreProperties>
</file>