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18th, 2020 / 12:30pm-1:30 p.m.  Zoom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Tabled due to OPMA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koi6u2z86y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10/19/2020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jwyc1xkdic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Scheduling Classes around COVID-19- Continued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2sgqb787kje7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Governance at UW Tacoma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j5r29b5ltmyv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Summer Pay for Summer Work: Continued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 for 2020-21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for Faculty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Tenure/Promotion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